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80" w:rsidRPr="00FA1580" w:rsidRDefault="00FA1580" w:rsidP="00FA1580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A1580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Раскрытие информации в сфере теплоснабжения</w:t>
      </w:r>
    </w:p>
    <w:p w:rsidR="00FA1580" w:rsidRPr="00FA1580" w:rsidRDefault="00FA1580" w:rsidP="00FA1580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A158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1. 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</w:t>
      </w:r>
    </w:p>
    <w:p w:rsidR="00FA1580" w:rsidRPr="00FA1580" w:rsidRDefault="00FA1580" w:rsidP="00FA1580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а) вид регулируемой деятельности – производство тепловой энергии;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б) выручка от регулируемой деятельности – 13 939 тыс. руб. (без НДС);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в) себестоимость производимых товаров по регулируемому виду деятельности – 13 422 тыс. руб.: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0"/>
        <w:gridCol w:w="1107"/>
      </w:tblGrid>
      <w:tr w:rsidR="00FA1580" w:rsidRPr="00FA1580" w:rsidTr="00FA1580">
        <w:tc>
          <w:tcPr>
            <w:tcW w:w="3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Статья затрат</w:t>
            </w:r>
          </w:p>
        </w:tc>
        <w:tc>
          <w:tcPr>
            <w:tcW w:w="1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Расходы на покупаемую тепловую энергию,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Расходы на топливо (газ), тыс. руб.: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11 697,2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A1580" w:rsidRPr="00FA1580">
              <w:tc>
                <w:tcPr>
                  <w:tcW w:w="8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80" w:rsidRPr="00FA1580" w:rsidRDefault="00FA1580" w:rsidP="00FA1580">
                  <w:pPr>
                    <w:spacing w:after="30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- цена за 1 тыс. м3, руб.</w:t>
                  </w:r>
                </w:p>
              </w:tc>
            </w:tr>
          </w:tbl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3 111,6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A1580" w:rsidRPr="00FA1580">
              <w:tc>
                <w:tcPr>
                  <w:tcW w:w="8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80" w:rsidRPr="00FA1580" w:rsidRDefault="00FA1580" w:rsidP="00FA1580">
                  <w:pPr>
                    <w:spacing w:after="30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- объем потребления газа, тыс. м3</w:t>
                  </w:r>
                </w:p>
              </w:tc>
            </w:tr>
          </w:tbl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3 759,2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A1580" w:rsidRPr="00FA1580">
              <w:tc>
                <w:tcPr>
                  <w:tcW w:w="8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80" w:rsidRPr="00FA1580" w:rsidRDefault="00FA1580" w:rsidP="00FA1580">
                  <w:pPr>
                    <w:spacing w:after="30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Расходы на покупаемую электрическую энергию, тыс. руб.:</w:t>
                  </w:r>
                </w:p>
              </w:tc>
            </w:tr>
          </w:tbl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1 331,2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A1580" w:rsidRPr="00FA1580">
              <w:tc>
                <w:tcPr>
                  <w:tcW w:w="8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80" w:rsidRPr="00FA1580" w:rsidRDefault="00FA1580" w:rsidP="00FA1580">
                  <w:pPr>
                    <w:spacing w:after="30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- средневзвешенная стоимость 1 </w:t>
                  </w:r>
                  <w:proofErr w:type="spellStart"/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кВтч</w:t>
                  </w:r>
                  <w:proofErr w:type="spellEnd"/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, руб.</w:t>
                  </w:r>
                </w:p>
              </w:tc>
            </w:tr>
          </w:tbl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2,18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A1580" w:rsidRPr="00FA1580">
              <w:tc>
                <w:tcPr>
                  <w:tcW w:w="8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80" w:rsidRPr="00FA1580" w:rsidRDefault="00FA1580" w:rsidP="00FA1580">
                  <w:pPr>
                    <w:spacing w:after="30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- объем потребления, кВт</w:t>
                  </w:r>
                </w:p>
              </w:tc>
            </w:tr>
          </w:tbl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610 145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A1580" w:rsidRPr="00FA1580">
              <w:tc>
                <w:tcPr>
                  <w:tcW w:w="8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80" w:rsidRPr="00FA1580" w:rsidRDefault="00FA1580" w:rsidP="00FA1580">
                  <w:pPr>
                    <w:spacing w:after="30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Расходы на приобретение холодной воды, используемой в технологическом процессе, тыс. руб.</w:t>
                  </w:r>
                </w:p>
              </w:tc>
            </w:tr>
          </w:tbl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120,1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Расходы на хим. реагенты,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218,0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A1580" w:rsidRPr="00FA1580">
              <w:tc>
                <w:tcPr>
                  <w:tcW w:w="8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80" w:rsidRPr="00FA1580" w:rsidRDefault="00FA1580" w:rsidP="00FA1580">
                  <w:pPr>
                    <w:spacing w:after="30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Расходы на оплату труда и отчисления на социальные нужды, тыс. руб.</w:t>
                  </w:r>
                </w:p>
              </w:tc>
            </w:tr>
          </w:tbl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2848,42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A1580" w:rsidRPr="00FA1580">
              <w:tc>
                <w:tcPr>
                  <w:tcW w:w="8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80" w:rsidRPr="00FA1580" w:rsidRDefault="00FA1580" w:rsidP="00FA1580">
                  <w:pPr>
                    <w:spacing w:after="30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Расходы на амортизацию основных производственных средств, тыс. руб.</w:t>
                  </w:r>
                </w:p>
              </w:tc>
            </w:tr>
          </w:tbl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298,2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A1580" w:rsidRPr="00FA1580">
              <w:tc>
                <w:tcPr>
                  <w:tcW w:w="8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80" w:rsidRPr="00FA1580" w:rsidRDefault="00FA1580" w:rsidP="00FA1580">
                  <w:pPr>
                    <w:spacing w:after="30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Общепроизводственные расходы, в том числе расходы на оплату труда и отчисления на соц. нужды, тыс. руб.</w:t>
                  </w:r>
                </w:p>
              </w:tc>
            </w:tr>
          </w:tbl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978,23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A1580" w:rsidRPr="00FA1580">
              <w:tc>
                <w:tcPr>
                  <w:tcW w:w="8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80" w:rsidRPr="00FA1580" w:rsidRDefault="00FA1580" w:rsidP="00FA1580">
                  <w:pPr>
                    <w:spacing w:after="30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Общехозяйственные расходы, в том числе на оплату труда и отчисления на соц. нужды, тыс. руб.</w:t>
                  </w:r>
                </w:p>
              </w:tc>
            </w:tr>
          </w:tbl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2 249,1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A1580" w:rsidRPr="00FA1580">
              <w:tc>
                <w:tcPr>
                  <w:tcW w:w="8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80" w:rsidRPr="00FA1580" w:rsidRDefault="00FA1580" w:rsidP="00FA1580">
                  <w:pPr>
                    <w:spacing w:after="30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Расходы на ремонт (капитальный и текущий) основных производственных средств, тыс. руб.</w:t>
                  </w:r>
                </w:p>
              </w:tc>
            </w:tr>
          </w:tbl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332,5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FA1580" w:rsidRPr="00FA1580">
              <w:tc>
                <w:tcPr>
                  <w:tcW w:w="82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A1580" w:rsidRPr="00FA1580" w:rsidRDefault="00FA1580" w:rsidP="00FA1580">
                  <w:pPr>
                    <w:spacing w:after="30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Расходы на услуги производственного характера, выполняемые по договорам с организациями на проведение </w:t>
                  </w:r>
                  <w:r w:rsidRPr="00FA158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lastRenderedPageBreak/>
                    <w:t>регламентных работ в рамках технологического процесса, тыс. руб.</w:t>
                  </w:r>
                </w:p>
              </w:tc>
            </w:tr>
          </w:tbl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48,8</w:t>
            </w:r>
          </w:p>
        </w:tc>
      </w:tr>
    </w:tbl>
    <w:p w:rsidR="00FA1580" w:rsidRPr="00FA1580" w:rsidRDefault="00FA1580" w:rsidP="00FA1580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г) Валовая прибыль (убыток) от продажи товаров и услуг по регулируемому виду деятельности, тыс. руб. - 521,75;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д) Чистая прибыль (убыток) от регулируемого вида деятельности, тыс. руб. – 521,75;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е) Изменение стоимости основных фондов: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- ввод основных средств, тыс. руб. – 861,42;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- вывод основных средств, тыс. руб. – 0.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ж) Выручка от регулируемой деятельности не превышает 80 процентов совокупной выручки за отчетный год;</w:t>
      </w:r>
      <w:proofErr w:type="gramEnd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proofErr w:type="gramStart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з) Установленная тепловая мощность, Гкал/ч – 16,7;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и) Присоединенная нагрузка, Гкал/ч – 0;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к) Объем выработанной тепловой энергии, тыс. Гкал – 27,402;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л) Объем покупаемой тепловой энергии, тыс. Гкал – 0;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м) Объем тепловой энергии, отпускаемой потребителям: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- по приборам учета, тыс. Гкал – 17,640;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- по нормативам потребления (расчетным методом), тыс. Гкал – 0,337;</w:t>
      </w:r>
      <w:proofErr w:type="gramEnd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proofErr w:type="gramStart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н) Технологические потери тепловой энергии при передаче по тепловым сетям, % - 0;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о) Протяженность магистральных сетей и тепловых вводов (в однотрубном исчислении), км - 0;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п) Протяженность разводящих сетей (в однотрубном исчислении), км – 0;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р) Количество теплоэлектростанций, штук – 0;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с) Количество тепловых станций и котельных, штук – 1;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т) Количество тепловых пунктов, штук – 0;</w:t>
      </w:r>
      <w:proofErr w:type="gramEnd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proofErr w:type="gramStart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у) Среднесписочная численность основного производственного персонала, чел. – 17;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ф) Удельный расход условного топлива на единицу тепловой энергии, отпускаемой в тепловую сеть, кг </w:t>
      </w:r>
      <w:proofErr w:type="spellStart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у.т</w:t>
      </w:r>
      <w:proofErr w:type="spellEnd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./Гкал – 119,29;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х) Удельный расход электрической энергии на единицу тепловой энергии, отпускаемой в тепловую сеть, </w:t>
      </w:r>
      <w:proofErr w:type="spellStart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кВтч</w:t>
      </w:r>
      <w:proofErr w:type="spellEnd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/Гкал – 22,27;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ц) Удельный расход холодной воды на единицу тепловой энергии, отпускаемой в тепловую сеть (куб. м/Гкал) – 0,25.</w:t>
      </w:r>
      <w:proofErr w:type="gramEnd"/>
    </w:p>
    <w:p w:rsidR="00FA1580" w:rsidRPr="00FA1580" w:rsidRDefault="00FA1580" w:rsidP="00FA1580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A158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2. Информация об основных потребительских характеристиках регулируемых товаров услуг регулируемых организаций и их соответствии государственным и иным утвержденным стандартам качества.</w:t>
      </w:r>
    </w:p>
    <w:p w:rsidR="00FA1580" w:rsidRPr="00FA1580" w:rsidRDefault="00FA1580" w:rsidP="00FA1580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а) количество аварий на системах теплоснабжения (единиц на км) – нет.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б) количество часов (суммарно за календарный год), превышающих допустимую продолжительность перерыва подачи тепловой энергии, и о количестве потребителей, затронутых ограничениями подачи тепловой энергии – 0.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в) количество часов (суммарно за календарный год) отклонения от нормативной температуры воздуха по вине регулируемой организации в жилых и нежилых отапливаемых помещениях – 0.</w:t>
      </w:r>
      <w:proofErr w:type="gramEnd"/>
    </w:p>
    <w:p w:rsidR="00FA1580" w:rsidRPr="00FA1580" w:rsidRDefault="00FA1580" w:rsidP="00FA1580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A158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3. Информация об инвестиционных программах и отчетах об их реализации</w:t>
      </w:r>
    </w:p>
    <w:p w:rsidR="00FA1580" w:rsidRPr="00FA1580" w:rsidRDefault="00FA1580" w:rsidP="00FA1580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а) цели инвестиционной программы: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- повышение качества и надежности теплоснабжения потребителей;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- экономия энергоресурсов. 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б) срок начала и окончания реализации инвестиционной программы – январь 2011 г.</w:t>
      </w: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в) потребности в финансовых средствах, необходимых для реализации инвестиционной программы: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5576"/>
        <w:gridCol w:w="2756"/>
      </w:tblGrid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158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  <w:r w:rsidRPr="00FA158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Фактические затраты, тыс. руб.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Приобретение сетевого насоса NB 100-250/229 с частотным преобразователем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651,16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СМР системы сетевого насоса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109,7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СМР системы управления насоса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13,63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ПНР системы управления насоса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25,16</w:t>
            </w:r>
          </w:p>
        </w:tc>
      </w:tr>
    </w:tbl>
    <w:p w:rsidR="00FA1580" w:rsidRPr="00FA1580" w:rsidRDefault="00FA1580" w:rsidP="00FA1580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г) показатели эффективности реализации инвестиционной программы.</w:t>
      </w:r>
    </w:p>
    <w:p w:rsidR="00FA1580" w:rsidRPr="00FA1580" w:rsidRDefault="00FA1580" w:rsidP="00FA1580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Приобретение нового сетевого насоса с частотным преобразователем, введенного в эксплуатацию в январе 2011, позволило снизить потребление электроэнергии по котельной.  Экономия электроэнергии в результате реализации программы составила 24,69 </w:t>
      </w:r>
      <w:proofErr w:type="spellStart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тыс</w:t>
      </w:r>
      <w:proofErr w:type="gramStart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.к</w:t>
      </w:r>
      <w:proofErr w:type="gramEnd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Вт.ч</w:t>
      </w:r>
      <w:proofErr w:type="spellEnd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(в денежном выражении экономия составила 35,49 </w:t>
      </w:r>
      <w:proofErr w:type="spellStart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тыс.руб</w:t>
      </w:r>
      <w:proofErr w:type="spellEnd"/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.)  за  2011 г.</w:t>
      </w:r>
    </w:p>
    <w:p w:rsidR="00FA1580" w:rsidRPr="00FA1580" w:rsidRDefault="00FA1580" w:rsidP="00FA1580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A158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д) использование инвестиционных средств за отчетный период с разбивкой по кварталам, мероприятиям и источникам финансирования инвестиционной программы.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6453"/>
        <w:gridCol w:w="1832"/>
      </w:tblGrid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158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  <w:r w:rsidRPr="00FA158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Дата выполнения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Приобретение сетевого насоса NB 100-250/229 с частотным преобразователем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 квартал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СМР системы сетевого насоса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 квартал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СМР системы управления насоса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 квартал</w:t>
            </w:r>
          </w:p>
        </w:tc>
      </w:tr>
      <w:tr w:rsidR="00FA1580" w:rsidRPr="00FA1580" w:rsidTr="00FA158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ПНР системы управления насоса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A1580" w:rsidRPr="00FA1580" w:rsidRDefault="00FA1580" w:rsidP="00FA15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A158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 квартал</w:t>
            </w:r>
          </w:p>
        </w:tc>
      </w:tr>
    </w:tbl>
    <w:p w:rsidR="007A24BD" w:rsidRDefault="007A24BD">
      <w:bookmarkStart w:id="0" w:name="_GoBack"/>
      <w:bookmarkEnd w:id="0"/>
    </w:p>
    <w:sectPr w:rsidR="007A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05"/>
    <w:rsid w:val="007A24BD"/>
    <w:rsid w:val="00C03F05"/>
    <w:rsid w:val="00F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5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2018-10-22T07:03:00Z</dcterms:created>
  <dcterms:modified xsi:type="dcterms:W3CDTF">2018-10-22T07:03:00Z</dcterms:modified>
</cp:coreProperties>
</file>